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Федеральным законом от 22.04.2024 № 84-ФЗ внесены изменения в статью 155 Жилищного кодекса Российской Федерации.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Arial" w:hAnsi="Arial" w:cs="Arial"/>
          <w:color w:val="333333"/>
        </w:rPr>
        <w:t xml:space="preserve">Согласно внесенным поправкам </w:t>
      </w:r>
      <w:proofErr w:type="spellStart"/>
      <w:r>
        <w:rPr>
          <w:rFonts w:ascii="Arial" w:hAnsi="Arial" w:cs="Arial"/>
          <w:color w:val="333333"/>
        </w:rPr>
        <w:t>наймодатель</w:t>
      </w:r>
      <w:proofErr w:type="spellEnd"/>
      <w:r>
        <w:rPr>
          <w:rFonts w:ascii="Arial" w:hAnsi="Arial" w:cs="Arial"/>
          <w:color w:val="333333"/>
        </w:rPr>
        <w:t xml:space="preserve"> жилого помещения по договорам социального найма, найма жилого помещения жилищного фонда социального использования, найма жилого помещения государственного или муниципального жилищного фонда, которым вносится плата за жилое помещение и коммунальные услуги, не вправе уступать право (требование) по возврату просроченной задолженности физических лиц третьим лицам, в том числе кредитным организациям или лицам, осуществляющим деятельность по возврату просроченной задолженности.</w:t>
      </w:r>
      <w:proofErr w:type="gramEnd"/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Заключенный в таком случае договор об уступке права (требования) по возврату просроченной задолженности считается ничтожным.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 xml:space="preserve">Новые положения не распространяются на случай уступки права (требования) по возврату просроченной задолженности новому </w:t>
      </w:r>
      <w:proofErr w:type="spellStart"/>
      <w:r>
        <w:rPr>
          <w:rFonts w:ascii="Arial" w:hAnsi="Arial" w:cs="Arial"/>
          <w:color w:val="333333"/>
        </w:rPr>
        <w:t>наймодателю</w:t>
      </w:r>
      <w:proofErr w:type="spellEnd"/>
      <w:r>
        <w:rPr>
          <w:rFonts w:ascii="Arial" w:hAnsi="Arial" w:cs="Arial"/>
          <w:color w:val="333333"/>
        </w:rPr>
        <w:t xml:space="preserve"> жилого помещения.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Style w:val="a4"/>
          <w:rFonts w:ascii="Arial" w:hAnsi="Arial" w:cs="Arial"/>
          <w:color w:val="333333"/>
        </w:rPr>
        <w:t>Основания для восстановления в родительских правах.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В соответствии с законодательством в отношении родителей, уклоняющихся от исполнения своих обязанностей в отношении несовершеннолетних детей, могут быть приняты меры воздействия в виде ограничения или лишения родительских прав.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В случае если основания, в силу которых родители (один из них) были лишены родительских прав, отпали, суд по иску родителей (одного из них) вправе вынести решение о восстановлении их в родительских правах.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Законом предусмотрена процедура восстановления родителя в его правах,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Согласно статье 72 Семейного кодекса Российской Федерации восстановление родителей в родительских правах предусмотрено в случаях, если они изменили поведение, образ жизни и (или) отношение к воспитанию ребенка. Для того чтобы восстановиться в родительских правах, необходимо подать исковое заявление в суд.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Суд вправе с учетом мнения ребенка отказать в удовлетворении иска родителей (одного из них), если восстановление в родительских правах противоречит интересам ребенка. Восстановление в родительских правах в отношении ребенка, достигшего возраста десяти лет, возможно только с его согласия.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 xml:space="preserve">Не допускается восстановление в родительских правах, если ребенок </w:t>
      </w:r>
      <w:proofErr w:type="gramStart"/>
      <w:r>
        <w:rPr>
          <w:rFonts w:ascii="Arial" w:hAnsi="Arial" w:cs="Arial"/>
          <w:color w:val="333333"/>
        </w:rPr>
        <w:t>усыновлен</w:t>
      </w:r>
      <w:proofErr w:type="gramEnd"/>
      <w:r>
        <w:rPr>
          <w:rFonts w:ascii="Arial" w:hAnsi="Arial" w:cs="Arial"/>
          <w:color w:val="333333"/>
        </w:rPr>
        <w:t xml:space="preserve"> и усыновление не отменено.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Для принятия положительного решения о восстановлении прав родителя судом должно быть выявлено три обязательных условия: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- родитель отказался от прежнего аморального поведения и осознал тяжесть и последствия своих поступков;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lastRenderedPageBreak/>
        <w:t>- произошла радикальная коррекция образа жизни истца, в частности, отказ от употребления алкоголя, наркотиков, что даст возможность ребенку нормально развиваться при общении с истцом;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- родитель пересмотрел свое отношение к воспитанию ребенка и готов выполнять свои родительские обязанности в полной мере.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Несмотря на то, что лишенный родительских прав гражданин может обратиться в суд в любое время, восстановление может быть инициировано только в отношении детей, не достигших совершеннолетия.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Style w:val="a4"/>
          <w:rFonts w:ascii="Arial" w:hAnsi="Arial" w:cs="Arial"/>
          <w:color w:val="333333"/>
        </w:rPr>
        <w:t xml:space="preserve">Определен порядок распоряжения средствами </w:t>
      </w:r>
      <w:proofErr w:type="spellStart"/>
      <w:r>
        <w:rPr>
          <w:rStyle w:val="a4"/>
          <w:rFonts w:ascii="Arial" w:hAnsi="Arial" w:cs="Arial"/>
          <w:color w:val="333333"/>
        </w:rPr>
        <w:t>маткапитала</w:t>
      </w:r>
      <w:proofErr w:type="spellEnd"/>
      <w:r>
        <w:rPr>
          <w:rStyle w:val="a4"/>
          <w:rFonts w:ascii="Arial" w:hAnsi="Arial" w:cs="Arial"/>
          <w:color w:val="333333"/>
        </w:rPr>
        <w:t>, возвращенными в СФР.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Arial" w:hAnsi="Arial" w:cs="Arial"/>
          <w:color w:val="333333"/>
        </w:rPr>
        <w:t>В соответствии с Приказом Минтруда России от 26.03.2024 N 144н «О внесении изменений в Правила направления неиспользованных средств (части средств) материнского (семейного) капитала на формирование накопительной пенсии, утвержденные приказом Министерства труда и социальной защиты Российской Федерации от 26.02.2021 № 92н», лица, чьи средства неиспользованной части материнского (семейного) капитала возвращены в СФР, вправе обратиться с заявлением о распоряжении соответствующими средствами по направлениям</w:t>
      </w:r>
      <w:proofErr w:type="gramEnd"/>
      <w:r>
        <w:rPr>
          <w:rFonts w:ascii="Arial" w:hAnsi="Arial" w:cs="Arial"/>
          <w:color w:val="333333"/>
        </w:rPr>
        <w:t xml:space="preserve">, </w:t>
      </w:r>
      <w:proofErr w:type="gramStart"/>
      <w:r>
        <w:rPr>
          <w:rFonts w:ascii="Arial" w:hAnsi="Arial" w:cs="Arial"/>
          <w:color w:val="333333"/>
        </w:rPr>
        <w:t>предусмотренным</w:t>
      </w:r>
      <w:proofErr w:type="gramEnd"/>
      <w:r>
        <w:rPr>
          <w:rFonts w:ascii="Arial" w:hAnsi="Arial" w:cs="Arial"/>
          <w:color w:val="333333"/>
        </w:rPr>
        <w:t xml:space="preserve"> статьями 10, 11, 11.1 и 11.2 Федерального закона "О дополнительных мерах государственной поддержки семей, имеющих детей".</w:t>
      </w:r>
    </w:p>
    <w:p w:rsidR="00DC669A" w:rsidRDefault="00DC669A" w:rsidP="00DC669A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Таким образом, соответствующие денежные средства предоставляются для улучшения жилищных условий, получения образования ребенком, на приобретение товаров и услуг, предназначенных для социальной адаптации и интеграции в общество детей-инвалидов, на получение ежемесячной выплаты в связи с рождением (усыновлением) ребенка до достижения им возраста трех лет.</w:t>
      </w:r>
    </w:p>
    <w:p w:rsidR="00205A80" w:rsidRDefault="00205A80"/>
    <w:sectPr w:rsidR="00205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C669A"/>
    <w:rsid w:val="00205A80"/>
    <w:rsid w:val="00DC6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6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C66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3369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2024-07-03T21:49:00Z</dcterms:created>
  <dcterms:modified xsi:type="dcterms:W3CDTF">2024-07-03T21:49:00Z</dcterms:modified>
</cp:coreProperties>
</file>